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0A1" w:rsidRDefault="00C670A1" w:rsidP="00C670A1">
      <w:pPr>
        <w:rPr>
          <w:rFonts w:ascii="Arial" w:hAnsi="Arial" w:cs="Arial"/>
          <w:b/>
          <w:sz w:val="22"/>
          <w:szCs w:val="22"/>
        </w:rPr>
      </w:pPr>
    </w:p>
    <w:p w:rsidR="005B661B" w:rsidRDefault="005B661B" w:rsidP="00C670A1">
      <w:pPr>
        <w:rPr>
          <w:rFonts w:ascii="Arial" w:hAnsi="Arial" w:cs="Arial"/>
          <w:b/>
          <w:sz w:val="22"/>
          <w:szCs w:val="22"/>
        </w:rPr>
      </w:pPr>
    </w:p>
    <w:p w:rsidR="005B661B" w:rsidRPr="00B801B5" w:rsidRDefault="005B661B" w:rsidP="00C670A1">
      <w:pPr>
        <w:rPr>
          <w:rFonts w:ascii="Arial" w:hAnsi="Arial" w:cs="Arial"/>
          <w:b/>
          <w:sz w:val="22"/>
          <w:szCs w:val="22"/>
        </w:rPr>
      </w:pP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090"/>
      </w:tblGrid>
      <w:tr w:rsidR="00C670A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C670A1" w:rsidRPr="00C14A61" w:rsidRDefault="00C670A1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090" w:type="dxa"/>
            <w:shd w:val="clear" w:color="auto" w:fill="auto"/>
          </w:tcPr>
          <w:p w:rsidR="00C670A1" w:rsidRPr="00C14A61" w:rsidRDefault="00C670A1" w:rsidP="0025099B">
            <w:r>
              <w:t>Nefrologija</w:t>
            </w:r>
          </w:p>
        </w:tc>
      </w:tr>
      <w:tr w:rsidR="00C670A1" w:rsidRPr="00A665D8" w:rsidTr="0025099B">
        <w:trPr>
          <w:trHeight w:val="344"/>
          <w:jc w:val="center"/>
        </w:trPr>
        <w:tc>
          <w:tcPr>
            <w:tcW w:w="2700" w:type="dxa"/>
            <w:shd w:val="clear" w:color="auto" w:fill="auto"/>
          </w:tcPr>
          <w:p w:rsidR="00C670A1" w:rsidRPr="00C14A61" w:rsidRDefault="00C670A1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090" w:type="dxa"/>
            <w:shd w:val="clear" w:color="auto" w:fill="auto"/>
          </w:tcPr>
          <w:p w:rsidR="00C670A1" w:rsidRPr="00C14A61" w:rsidRDefault="00C670A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nefrologije</w:t>
            </w:r>
          </w:p>
        </w:tc>
      </w:tr>
      <w:tr w:rsidR="00C670A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C670A1" w:rsidRPr="00C14A6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090" w:type="dxa"/>
            <w:shd w:val="clear" w:color="auto" w:fill="auto"/>
          </w:tcPr>
          <w:p w:rsidR="00C670A1" w:rsidRPr="00C14A61" w:rsidRDefault="00C670A1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C670A1" w:rsidRPr="00A665D8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C670A1" w:rsidRDefault="00C670A1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C670A1" w:rsidRDefault="00C670A1" w:rsidP="0025099B">
            <w:pPr>
              <w:rPr>
                <w:b/>
              </w:rPr>
            </w:pPr>
          </w:p>
          <w:p w:rsidR="00C670A1" w:rsidRDefault="00C670A1" w:rsidP="0025099B">
            <w:pPr>
              <w:rPr>
                <w:b/>
              </w:rPr>
            </w:pPr>
          </w:p>
          <w:p w:rsidR="00C670A1" w:rsidRPr="00C14A61" w:rsidRDefault="00C670A1" w:rsidP="0025099B">
            <w:pPr>
              <w:rPr>
                <w:b/>
              </w:rPr>
            </w:pPr>
          </w:p>
        </w:tc>
        <w:tc>
          <w:tcPr>
            <w:tcW w:w="12090" w:type="dxa"/>
            <w:tcBorders>
              <w:bottom w:val="single" w:sz="4" w:space="0" w:color="auto"/>
            </w:tcBorders>
            <w:shd w:val="clear" w:color="auto" w:fill="auto"/>
          </w:tcPr>
          <w:p w:rsidR="00C670A1" w:rsidRPr="005D145B" w:rsidRDefault="00C670A1" w:rsidP="0025099B">
            <w:pPr>
              <w:rPr>
                <w:color w:val="FF0000"/>
              </w:rPr>
            </w:pPr>
            <w:r w:rsidRPr="00474AB7">
              <w:rPr>
                <w:b/>
              </w:rPr>
              <w:t xml:space="preserve">Zajedničko internističko „deblo“ </w:t>
            </w:r>
            <w:r>
              <w:t>- 22</w:t>
            </w:r>
            <w:r w:rsidRPr="007F3299">
              <w:t xml:space="preserve"> mjeseca</w:t>
            </w:r>
            <w:r>
              <w:t xml:space="preserve">  </w:t>
            </w:r>
          </w:p>
          <w:p w:rsidR="00C670A1" w:rsidRPr="00724993" w:rsidRDefault="00C670A1" w:rsidP="0025099B">
            <w:pPr>
              <w:ind w:right="-108"/>
            </w:pPr>
            <w:r w:rsidRPr="007A567F">
              <w:t xml:space="preserve">1. Kardiologija - </w:t>
            </w:r>
            <w:r w:rsidRPr="00724993">
              <w:t xml:space="preserve">2 mjeseca i 3 tjedna     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2. Gastroenterologija –  2 mjeseca i 3 tjedna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 xml:space="preserve">3. Endokrinologija i dijabetologija - 2,5 mjeseca             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4. Pulmologija –  2 mjeseca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5. Nefrologija - 2,5 mjeseca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6. Hematologija – 2 mjeseca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7. Transfuziologija - 2 tjedna</w:t>
            </w:r>
          </w:p>
          <w:p w:rsidR="00C670A1" w:rsidRPr="00724993" w:rsidRDefault="00C670A1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>8. Alergologija i klinička imunologija- 1 mjesec</w:t>
            </w:r>
          </w:p>
          <w:p w:rsidR="00C670A1" w:rsidRPr="00724993" w:rsidRDefault="00C670A1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 xml:space="preserve">9. Reumatologija - 2 mjeseca  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10. Intenzivna i hitna medicina - 1.5 mjesec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11. Internistička onkologija – 1 mjesec</w:t>
            </w:r>
          </w:p>
          <w:p w:rsidR="00C670A1" w:rsidRPr="00724993" w:rsidRDefault="00C670A1" w:rsidP="0025099B">
            <w:pPr>
              <w:ind w:right="-108"/>
            </w:pPr>
            <w:r w:rsidRPr="00724993">
              <w:t>12. Klinička farmakologija i toksikologija - 2  tjedna</w:t>
            </w:r>
          </w:p>
          <w:p w:rsidR="00C670A1" w:rsidRDefault="00C670A1" w:rsidP="0025099B">
            <w:pPr>
              <w:ind w:left="708" w:hanging="708"/>
            </w:pPr>
            <w:r w:rsidRPr="00724993">
              <w:t>13. Infektologija - 1 mjesec</w:t>
            </w:r>
            <w:r w:rsidRPr="008D17C5">
              <w:t xml:space="preserve">                                                     </w:t>
            </w:r>
          </w:p>
          <w:p w:rsidR="00C670A1" w:rsidRDefault="00C670A1" w:rsidP="0025099B">
            <w:pPr>
              <w:rPr>
                <w:b/>
              </w:rPr>
            </w:pPr>
          </w:p>
          <w:p w:rsidR="00C670A1" w:rsidRDefault="00C670A1" w:rsidP="0025099B">
            <w:r>
              <w:rPr>
                <w:b/>
              </w:rPr>
              <w:t xml:space="preserve">Nefrologija- </w:t>
            </w:r>
            <w:r w:rsidRPr="004417FF">
              <w:t xml:space="preserve">33 mjeseca </w:t>
            </w:r>
            <w:r>
              <w:t xml:space="preserve">  </w:t>
            </w:r>
          </w:p>
          <w:p w:rsidR="00C670A1" w:rsidRPr="00B829BF" w:rsidRDefault="00C670A1" w:rsidP="0025099B">
            <w:pPr>
              <w:ind w:left="360" w:hanging="333"/>
            </w:pPr>
            <w:r>
              <w:t xml:space="preserve">1. </w:t>
            </w:r>
            <w:r w:rsidRPr="00B829BF">
              <w:t>Klinička nefrologija</w:t>
            </w:r>
            <w:r>
              <w:t>-</w:t>
            </w:r>
            <w:r w:rsidRPr="00B829BF">
              <w:t xml:space="preserve"> </w:t>
            </w:r>
            <w:r>
              <w:t>9</w:t>
            </w:r>
            <w:r w:rsidRPr="00B829BF">
              <w:t xml:space="preserve"> </w:t>
            </w:r>
            <w:r>
              <w:t>mjeseci</w:t>
            </w:r>
          </w:p>
          <w:p w:rsidR="00C670A1" w:rsidRPr="00B829BF" w:rsidRDefault="00C670A1" w:rsidP="0025099B">
            <w:pPr>
              <w:ind w:left="360" w:hanging="333"/>
            </w:pPr>
            <w:r>
              <w:t xml:space="preserve">2. </w:t>
            </w:r>
            <w:r w:rsidRPr="00B829BF">
              <w:t>A</w:t>
            </w:r>
            <w:r>
              <w:t>rterijska hipertenzija -5 mjeseci</w:t>
            </w:r>
            <w:r w:rsidRPr="00B829BF">
              <w:t xml:space="preserve"> </w:t>
            </w:r>
          </w:p>
          <w:p w:rsidR="00C670A1" w:rsidRPr="00B829BF" w:rsidRDefault="00C670A1" w:rsidP="0025099B">
            <w:pPr>
              <w:ind w:left="360" w:hanging="333"/>
            </w:pPr>
            <w:r>
              <w:t>3. Hemodijaliza-</w:t>
            </w:r>
            <w:r w:rsidRPr="00B829BF">
              <w:t xml:space="preserve"> </w:t>
            </w:r>
            <w:r>
              <w:t>9 mjeseci</w:t>
            </w:r>
            <w:r w:rsidRPr="00B829BF">
              <w:t xml:space="preserve"> </w:t>
            </w:r>
          </w:p>
          <w:p w:rsidR="00C670A1" w:rsidRPr="00B829BF" w:rsidRDefault="00C670A1" w:rsidP="0025099B">
            <w:pPr>
              <w:ind w:left="360" w:hanging="333"/>
            </w:pPr>
            <w:r>
              <w:t xml:space="preserve">4. </w:t>
            </w:r>
            <w:r w:rsidRPr="00B829BF">
              <w:t>Peritonejska dijaliza</w:t>
            </w:r>
            <w:r>
              <w:t>-</w:t>
            </w:r>
            <w:r w:rsidRPr="00B829BF">
              <w:t xml:space="preserve"> </w:t>
            </w:r>
            <w:r>
              <w:t>4 mjeseca</w:t>
            </w:r>
            <w:r w:rsidRPr="00B829BF">
              <w:t xml:space="preserve"> </w:t>
            </w:r>
          </w:p>
          <w:p w:rsidR="00C670A1" w:rsidRPr="00B829BF" w:rsidRDefault="00C670A1" w:rsidP="0025099B">
            <w:pPr>
              <w:ind w:left="360" w:hanging="333"/>
            </w:pPr>
            <w:r>
              <w:t xml:space="preserve">5. </w:t>
            </w:r>
            <w:r w:rsidRPr="00B829BF">
              <w:t>Tra</w:t>
            </w:r>
            <w:r>
              <w:t>nsplantacija-</w:t>
            </w:r>
            <w:r w:rsidRPr="00B829BF">
              <w:t xml:space="preserve"> </w:t>
            </w:r>
            <w:r>
              <w:t xml:space="preserve"> 6 mjeseci</w:t>
            </w:r>
          </w:p>
          <w:p w:rsidR="00C670A1" w:rsidRDefault="00C670A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C670A1" w:rsidRDefault="00C670A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2029F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Godišnji odmor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- 5 mjeseci</w:t>
            </w:r>
          </w:p>
          <w:p w:rsidR="00C670A1" w:rsidRPr="002029F4" w:rsidRDefault="00C670A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C670A1" w:rsidRPr="002029F4" w:rsidRDefault="00C670A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Poslijediplomski s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pecijalistički studij  „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Nefrologija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“- 3 mjeseca</w:t>
            </w:r>
          </w:p>
          <w:p w:rsidR="00C670A1" w:rsidRPr="004B47CD" w:rsidRDefault="00C670A1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4B47CD">
              <w:t xml:space="preserve">U okviru specijalizacije iz </w:t>
            </w:r>
            <w:r>
              <w:t xml:space="preserve">nefrologije </w:t>
            </w:r>
            <w:r w:rsidRPr="004B47CD">
              <w:t>specijalizant mora završiti</w:t>
            </w:r>
            <w:r>
              <w:t xml:space="preserve"> poslijediplomski </w:t>
            </w:r>
            <w:r w:rsidRPr="004B47CD">
              <w:t xml:space="preserve"> specijalistički studij „</w:t>
            </w:r>
            <w:r>
              <w:t>Nefrologija</w:t>
            </w:r>
            <w:r w:rsidRPr="004B47CD">
              <w:t>“</w:t>
            </w:r>
            <w:r>
              <w:t xml:space="preserve">. </w:t>
            </w:r>
          </w:p>
          <w:p w:rsidR="00C670A1" w:rsidRPr="004B47CD" w:rsidRDefault="00C670A1" w:rsidP="0025099B">
            <w:pPr>
              <w:pStyle w:val="StandardWeb"/>
              <w:spacing w:before="0" w:beforeAutospacing="0" w:after="0" w:afterAutospacing="0"/>
              <w:ind w:left="72" w:right="-483"/>
            </w:pPr>
            <w:r w:rsidRPr="004B47CD">
              <w:t xml:space="preserve">Tijekom specijalizacije </w:t>
            </w:r>
            <w:r>
              <w:t>iz nefrologije s</w:t>
            </w:r>
            <w:r w:rsidRPr="004B47CD">
              <w:t>pecijalizant je obvezan pohađati tečajeve trajnog stručnog usavršavanja</w:t>
            </w:r>
            <w:r>
              <w:t xml:space="preserve"> </w:t>
            </w:r>
            <w:r w:rsidRPr="004B47CD">
              <w:t>doktora medicine.</w:t>
            </w:r>
          </w:p>
          <w:p w:rsidR="00C670A1" w:rsidRPr="00C14A61" w:rsidRDefault="00C670A1" w:rsidP="0025099B"/>
        </w:tc>
      </w:tr>
      <w:tr w:rsidR="00C670A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C670A1" w:rsidRPr="009730E2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C670A1" w:rsidRPr="00A665D8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90" w:type="dxa"/>
            <w:shd w:val="clear" w:color="auto" w:fill="auto"/>
            <w:vAlign w:val="center"/>
          </w:tcPr>
          <w:p w:rsidR="00C670A1" w:rsidRPr="00EF7951" w:rsidRDefault="00C670A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C670A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C670A1" w:rsidRPr="00525F7E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pecijalizant, glavni mentor i mentor</w:t>
            </w: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C670A1" w:rsidRPr="00EF7951" w:rsidRDefault="00C670A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nefrologije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mora imati u potpunosti usvojene opće kompetencije. Posebna pozornost mora se usmjeriti stjecanju općih kompetencija važnih za određenu granu specijalizacije.   </w:t>
            </w:r>
          </w:p>
          <w:p w:rsidR="00C670A1" w:rsidRPr="00EF7951" w:rsidRDefault="00C670A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</w:t>
            </w:r>
          </w:p>
          <w:p w:rsidR="00C670A1" w:rsidRPr="00EF7951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nefrologije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C670A1" w:rsidRPr="00EF795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C670A1" w:rsidRPr="00EF795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C670A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C670A1" w:rsidRPr="007746DF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C670A1" w:rsidRPr="00EF7951" w:rsidRDefault="00C670A1" w:rsidP="00C670A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C670A1" w:rsidRPr="002D7E7B" w:rsidRDefault="00C670A1" w:rsidP="00C670A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C670A1" w:rsidRPr="002D7E7B" w:rsidRDefault="00C670A1" w:rsidP="00C670A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C670A1" w:rsidRPr="00EF7951" w:rsidRDefault="00C670A1" w:rsidP="00C670A1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lastRenderedPageBreak/>
              <w:t>usvojiti principe upravljanja svojom praksom i karijerom s ciljem profesionalnog razvoja (3)</w:t>
            </w:r>
          </w:p>
          <w:p w:rsidR="00C670A1" w:rsidRPr="007746DF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C670A1" w:rsidRPr="00EF795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C670A1" w:rsidRPr="00EF795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C670A1" w:rsidRPr="00EF7951" w:rsidRDefault="00C670A1" w:rsidP="00C670A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C670A1" w:rsidRPr="00EF7951" w:rsidRDefault="00C670A1" w:rsidP="00C670A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C670A1" w:rsidRPr="00EF7951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C670A1" w:rsidRPr="002D7E7B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C670A1" w:rsidRPr="002D7E7B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C670A1" w:rsidRPr="002D7E7B" w:rsidRDefault="00C670A1" w:rsidP="00C670A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C670A1" w:rsidRPr="00EF7951" w:rsidRDefault="00C670A1" w:rsidP="00C670A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C670A1" w:rsidRDefault="00C670A1" w:rsidP="00C670A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C670A1" w:rsidRPr="007746DF" w:rsidRDefault="00C670A1" w:rsidP="00C670A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C670A1" w:rsidRPr="007746DF" w:rsidRDefault="00C670A1" w:rsidP="00C670A1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C670A1" w:rsidRPr="00EF7951" w:rsidRDefault="00C670A1" w:rsidP="00C670A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C670A1" w:rsidRPr="00EF7951" w:rsidRDefault="00C670A1" w:rsidP="00C670A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C670A1" w:rsidRPr="00EF7951" w:rsidRDefault="00C670A1" w:rsidP="00C670A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C670A1" w:rsidRDefault="00C670A1" w:rsidP="00C670A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C670A1" w:rsidRDefault="00C670A1" w:rsidP="0025099B">
            <w:pPr>
              <w:rPr>
                <w:b/>
              </w:rPr>
            </w:pPr>
          </w:p>
          <w:p w:rsidR="00C670A1" w:rsidRDefault="00C670A1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C670A1" w:rsidRDefault="00C670A1" w:rsidP="0025099B">
            <w:pPr>
              <w:rPr>
                <w:b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C670A1" w:rsidRPr="00D20B53" w:rsidRDefault="00C670A1" w:rsidP="0025099B">
            <w:r w:rsidRPr="00D20B53">
              <w:t>Završetkom prvog dijela programa specijalizacije - zajednič</w:t>
            </w:r>
            <w:r>
              <w:t xml:space="preserve">ko deblo - specijalizant  mora </w:t>
            </w:r>
            <w:r w:rsidRPr="00DA72A4">
              <w:t>položiti ispit iz e-predmeta „Racionalna primjena lijekova“ te mora biti sposoban primijeniti usvojen</w:t>
            </w:r>
            <w:r>
              <w:t>a znanja i vještine u slijedećim poglavljima:</w:t>
            </w:r>
            <w:r w:rsidRPr="00D20B53">
              <w:t xml:space="preserve"> 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</w:pPr>
            <w:r w:rsidRPr="00D20B53">
              <w:rPr>
                <w:u w:val="single"/>
              </w:rPr>
              <w:lastRenderedPageBreak/>
              <w:t>iz kardiologije</w:t>
            </w:r>
            <w:r w:rsidRPr="00D20B53">
              <w:t>: o</w:t>
            </w:r>
            <w:r>
              <w:t>brada</w:t>
            </w:r>
            <w:r w:rsidRPr="00D20B53">
              <w:t xml:space="preserve"> kardiološkog bolesnika i usvojiti specifičnosti anamneze i statusa kardiološkog bolesnika (2); 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C670A1" w:rsidRPr="00D20B53" w:rsidRDefault="00C670A1" w:rsidP="0025099B"/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>alne bolesti 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C670A1" w:rsidRPr="00D20B53" w:rsidRDefault="00C670A1" w:rsidP="0025099B">
            <w:pPr>
              <w:ind w:left="1080"/>
              <w:jc w:val="both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 xml:space="preserve">dokrinih funkcija, </w:t>
            </w:r>
            <w:r>
              <w:lastRenderedPageBreak/>
              <w:t>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C670A1" w:rsidRPr="00D20B53" w:rsidRDefault="00C670A1" w:rsidP="0025099B">
            <w:pPr>
              <w:ind w:left="1080"/>
              <w:jc w:val="both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>bolesti 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C670A1" w:rsidRPr="00D20B53" w:rsidRDefault="00C670A1" w:rsidP="0025099B">
            <w:pPr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DA72A4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</w:t>
            </w:r>
            <w:r w:rsidRPr="00D20B53">
              <w:rPr>
                <w:lang w:val="it-IT"/>
              </w:rPr>
              <w:lastRenderedPageBreak/>
              <w:t xml:space="preserve">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C670A1" w:rsidRPr="00D20B53" w:rsidRDefault="00C670A1" w:rsidP="0025099B">
            <w:pPr>
              <w:ind w:left="1080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C670A1" w:rsidRPr="00D20B53" w:rsidRDefault="00C670A1" w:rsidP="0025099B">
            <w:pPr>
              <w:jc w:val="both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C670A1" w:rsidRPr="00D20B53" w:rsidRDefault="00C670A1" w:rsidP="0025099B">
            <w:pPr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C670A1" w:rsidRPr="0072499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724993">
              <w:rPr>
                <w:lang w:val="it-IT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C670A1" w:rsidRPr="00D20B53" w:rsidRDefault="00C670A1" w:rsidP="0025099B">
            <w:pPr>
              <w:ind w:left="1080"/>
              <w:jc w:val="both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 xml:space="preserve">autoantitijela, citološke metode </w:t>
            </w:r>
            <w:proofErr w:type="gramStart"/>
            <w:r>
              <w:rPr>
                <w:lang w:val="it-IT"/>
              </w:rPr>
              <w:t>pretraga</w:t>
            </w:r>
            <w:r w:rsidRPr="00D20B53">
              <w:rPr>
                <w:lang w:val="it-IT"/>
              </w:rPr>
              <w:t xml:space="preserve">  (</w:t>
            </w:r>
            <w:proofErr w:type="gramEnd"/>
            <w:r w:rsidRPr="00D20B53">
              <w:rPr>
                <w:lang w:val="it-IT"/>
              </w:rPr>
              <w:t>2)</w:t>
            </w:r>
          </w:p>
          <w:p w:rsidR="00C670A1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 xml:space="preserve">, Sjogrenov sindrom; polimiozitis/dermatomiozitis, sindrom </w:t>
            </w:r>
            <w:r w:rsidRPr="00D20B53">
              <w:rPr>
                <w:lang w:val="it-IT"/>
              </w:rPr>
              <w:lastRenderedPageBreak/>
              <w:t>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C670A1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C670A1" w:rsidRDefault="00C670A1" w:rsidP="0025099B">
            <w:pPr>
              <w:jc w:val="both"/>
              <w:rPr>
                <w:lang w:val="it-IT"/>
              </w:rPr>
            </w:pPr>
          </w:p>
          <w:p w:rsidR="00C670A1" w:rsidRDefault="00C670A1" w:rsidP="00C670A1">
            <w:pPr>
              <w:numPr>
                <w:ilvl w:val="0"/>
                <w:numId w:val="6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C670A1" w:rsidRDefault="00C670A1" w:rsidP="00C670A1">
            <w:pPr>
              <w:numPr>
                <w:ilvl w:val="0"/>
                <w:numId w:val="6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C670A1" w:rsidRDefault="00C670A1" w:rsidP="0025099B">
            <w:pPr>
              <w:contextualSpacing/>
            </w:pPr>
          </w:p>
          <w:p w:rsidR="00C670A1" w:rsidRDefault="00C670A1" w:rsidP="00C670A1">
            <w:pPr>
              <w:numPr>
                <w:ilvl w:val="0"/>
                <w:numId w:val="6"/>
              </w:numPr>
              <w:contextualSpacing/>
            </w:pPr>
            <w: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C670A1" w:rsidRPr="00653882" w:rsidRDefault="00C670A1" w:rsidP="0025099B">
            <w:pPr>
              <w:ind w:left="1080"/>
              <w:contextualSpacing/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C670A1" w:rsidRPr="00D20B53" w:rsidRDefault="00C670A1" w:rsidP="0025099B">
            <w:pPr>
              <w:jc w:val="both"/>
              <w:rPr>
                <w:lang w:val="it-IT"/>
              </w:rPr>
            </w:pP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C670A1" w:rsidRPr="00D20B53" w:rsidRDefault="00C670A1" w:rsidP="00C670A1">
            <w:pPr>
              <w:numPr>
                <w:ilvl w:val="0"/>
                <w:numId w:val="6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C670A1" w:rsidRPr="009D37B1" w:rsidRDefault="00C670A1" w:rsidP="0025099B">
            <w:pPr>
              <w:jc w:val="both"/>
              <w:rPr>
                <w:lang w:val="it-IT"/>
              </w:rPr>
            </w:pPr>
          </w:p>
          <w:p w:rsidR="00C670A1" w:rsidRDefault="00C670A1" w:rsidP="0025099B">
            <w:pPr>
              <w:rPr>
                <w:b/>
              </w:rPr>
            </w:pPr>
            <w:r>
              <w:rPr>
                <w:b/>
              </w:rPr>
              <w:t xml:space="preserve">Nefrologija </w:t>
            </w:r>
          </w:p>
          <w:p w:rsidR="00C670A1" w:rsidRDefault="00C670A1" w:rsidP="0025099B">
            <w:r>
              <w:t xml:space="preserve">Završetkom </w:t>
            </w:r>
            <w:r w:rsidRPr="00B829BF">
              <w:t>specijalističkog usavršavanja iz  nefrol</w:t>
            </w:r>
            <w:r>
              <w:t>o</w:t>
            </w:r>
            <w:r w:rsidRPr="00B829BF">
              <w:t xml:space="preserve">gije </w:t>
            </w:r>
            <w:r>
              <w:t>s</w:t>
            </w:r>
            <w:r w:rsidRPr="004545A6">
              <w:t>pecijalizant mora biti sposoban pružiti optimalnu zdravstvenu zaštitu</w:t>
            </w:r>
            <w:r>
              <w:t xml:space="preserve"> odnosno vladati metodama iz tematskih područja nefrologije:</w:t>
            </w:r>
            <w:r w:rsidRPr="004545A6">
              <w:t xml:space="preserve"> </w:t>
            </w:r>
          </w:p>
          <w:p w:rsidR="00C670A1" w:rsidRDefault="00C670A1" w:rsidP="00C670A1">
            <w:pPr>
              <w:widowControl w:val="0"/>
              <w:numPr>
                <w:ilvl w:val="0"/>
                <w:numId w:val="8"/>
              </w:numPr>
              <w:suppressAutoHyphens/>
              <w:jc w:val="both"/>
            </w:pPr>
            <w:r w:rsidRPr="00A417F6">
              <w:lastRenderedPageBreak/>
              <w:t>dijagnostika i liječenje glomerularnih bolesti (uključivši i izvođenje perkutanih biopsija bubrega, poznavanje nefropatologije) (3)</w:t>
            </w:r>
          </w:p>
          <w:p w:rsidR="00C670A1" w:rsidRPr="00B829BF" w:rsidRDefault="00C670A1" w:rsidP="00C670A1">
            <w:pPr>
              <w:widowControl w:val="0"/>
              <w:numPr>
                <w:ilvl w:val="0"/>
                <w:numId w:val="8"/>
              </w:numPr>
              <w:suppressAutoHyphens/>
              <w:jc w:val="both"/>
            </w:pPr>
            <w:r>
              <w:t>d</w:t>
            </w:r>
            <w:r w:rsidRPr="00B829BF">
              <w:t>ijagnostika i liječenje dijabetičke nefropatije</w:t>
            </w:r>
            <w:r>
              <w:t xml:space="preserve"> (3)</w:t>
            </w:r>
          </w:p>
          <w:p w:rsidR="00C670A1" w:rsidRPr="00B829BF" w:rsidRDefault="00C670A1" w:rsidP="00C670A1">
            <w:pPr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suppressAutoHyphens/>
              <w:jc w:val="both"/>
            </w:pPr>
            <w:r>
              <w:t>d</w:t>
            </w:r>
            <w:r w:rsidRPr="00B829BF">
              <w:t>ijagnostika i liječenje arterijske hiperte</w:t>
            </w:r>
            <w:r>
              <w:t xml:space="preserve">nzije- primarne i svih oblika </w:t>
            </w:r>
            <w:r w:rsidRPr="00B829BF">
              <w:t>sekundarne. Važnost kronične bubrežne bolesti kao čimbenika  kardiovaskularnog rizika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tabs>
                <w:tab w:val="num" w:pos="761"/>
              </w:tabs>
              <w:jc w:val="both"/>
            </w:pPr>
            <w:r>
              <w:t>a</w:t>
            </w:r>
            <w:r w:rsidRPr="00B829BF">
              <w:t xml:space="preserve">kutno bubrežno zatajenje i intenzivno liječenje u nefrologiji </w:t>
            </w:r>
            <w:r>
              <w:t>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l</w:t>
            </w:r>
            <w:r w:rsidRPr="00B829BF">
              <w:t>iječenje bolesnika s kroničnom bubrežnom bolesti (primarna prevencija,  liječe</w:t>
            </w:r>
            <w:r>
              <w:t>nje anemije, palijativna skrb)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ijalizu</w:t>
            </w:r>
            <w:r>
              <w:t xml:space="preserve">- </w:t>
            </w:r>
            <w:r w:rsidRPr="00B829BF">
              <w:t>hemodijaliza i peritonejska dijaliza (postavljanje endovenskog</w:t>
            </w:r>
            <w:r>
              <w:t xml:space="preserve"> ka</w:t>
            </w:r>
            <w:r w:rsidRPr="00B829BF">
              <w:t>tetera, čuvanje krvožilnog pristupa, poznavanje doplera)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ijagnosticiranje i liječenje acidobanih poremećaje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ijagnosticiranje i liječenje poremećaje elektrolita i tekućina</w:t>
            </w:r>
            <w:r>
              <w:t xml:space="preserve"> (3) 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ijagnosticiranje i liječenje cistične i nasljednih bolesti bubrega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ijagnosticiranje tubulointersticijske bolesti i infekcija mokraćnog sustava (s posebnim osvrtom na endemsku nefropatiju)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ijagnosticiranje i liječenje poremećaje mineralnog metabolizma</w:t>
            </w:r>
            <w:r>
              <w:t xml:space="preserve"> (3)</w:t>
            </w:r>
          </w:p>
          <w:p w:rsidR="00C670A1" w:rsidRPr="00B829BF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d</w:t>
            </w:r>
            <w:r w:rsidRPr="00B829BF">
              <w:t>ijagnostika i liječenje nefrolitijaze</w:t>
            </w:r>
            <w:r>
              <w:t xml:space="preserve"> (3)</w:t>
            </w:r>
          </w:p>
          <w:p w:rsidR="00C670A1" w:rsidRPr="00A417F6" w:rsidRDefault="00C670A1" w:rsidP="00C670A1">
            <w:pPr>
              <w:numPr>
                <w:ilvl w:val="0"/>
                <w:numId w:val="8"/>
              </w:numPr>
              <w:jc w:val="both"/>
            </w:pPr>
            <w:r>
              <w:t>l</w:t>
            </w:r>
            <w:r w:rsidRPr="00B829BF">
              <w:t>iječenje i praćenje bolesnika s transplantiranim bubrezima (poticanje  transplantacije – edukacija bolesnika i opće populacije, priprema  bolesnika, lista čekanja, imunosupre</w:t>
            </w:r>
            <w:r>
              <w:t>sija, dopler bubrega, biopsija transpl</w:t>
            </w:r>
            <w:r w:rsidRPr="00B829BF">
              <w:t>a</w:t>
            </w:r>
            <w:r>
              <w:t>n</w:t>
            </w:r>
            <w:r w:rsidRPr="00B829BF">
              <w:t xml:space="preserve">tiranog bubrega, dijagnosticiranje i liječenje akutnog i kroničnog </w:t>
            </w:r>
            <w:r>
              <w:t>odbacivanja; k</w:t>
            </w:r>
            <w:r w:rsidRPr="00B829BF">
              <w:t xml:space="preserve">linička transplantacija bubrega i istovremena transplantacija </w:t>
            </w:r>
            <w:r w:rsidRPr="00A417F6">
              <w:t>bubrega i gušterače, te bubrega i jetre) (3)</w:t>
            </w:r>
          </w:p>
          <w:p w:rsidR="00C670A1" w:rsidRPr="00A417F6" w:rsidRDefault="00C670A1" w:rsidP="00C670A1">
            <w:pPr>
              <w:numPr>
                <w:ilvl w:val="0"/>
                <w:numId w:val="8"/>
              </w:numPr>
              <w:jc w:val="both"/>
            </w:pPr>
            <w:r w:rsidRPr="00A417F6">
              <w:t xml:space="preserve">dijagnosticiranje i liječenje bolesti bubrega u trudnoći (3) </w:t>
            </w:r>
          </w:p>
          <w:p w:rsidR="00C670A1" w:rsidRPr="00A417F6" w:rsidRDefault="00C670A1" w:rsidP="00C670A1">
            <w:pPr>
              <w:numPr>
                <w:ilvl w:val="0"/>
                <w:numId w:val="8"/>
              </w:numPr>
              <w:jc w:val="both"/>
            </w:pPr>
            <w:r w:rsidRPr="00A417F6">
              <w:t>poznavanje testove bubrežne funkcije  (3)</w:t>
            </w:r>
          </w:p>
          <w:p w:rsidR="00C670A1" w:rsidRPr="00A417F6" w:rsidRDefault="00C670A1" w:rsidP="00C670A1">
            <w:pPr>
              <w:numPr>
                <w:ilvl w:val="0"/>
                <w:numId w:val="8"/>
              </w:numPr>
              <w:jc w:val="both"/>
            </w:pPr>
            <w:r w:rsidRPr="00A417F6">
              <w:t xml:space="preserve">poznavanje posebnosti primjene lijekove kod bubrežnih bolesti (3) </w:t>
            </w:r>
          </w:p>
          <w:p w:rsidR="00C670A1" w:rsidRPr="006E5A87" w:rsidRDefault="00C670A1" w:rsidP="00C670A1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A417F6">
              <w:t xml:space="preserve">dijagnosticiranje, liječenje i praćenje bolesnika s tumorima mokraćnog  sustava (naročito karcinome prijelaznog epitela u sklopu endemske  nefropatije (3) </w:t>
            </w:r>
          </w:p>
          <w:p w:rsidR="00C670A1" w:rsidRPr="00EF7951" w:rsidRDefault="00C670A1" w:rsidP="0025099B">
            <w:pPr>
              <w:jc w:val="both"/>
              <w:rPr>
                <w:b/>
              </w:rPr>
            </w:pPr>
          </w:p>
        </w:tc>
      </w:tr>
      <w:tr w:rsidR="00C670A1" w:rsidRPr="00571F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3A44B2" w:rsidRDefault="00C670A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Default="00C670A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A54D98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A54D98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C670A1" w:rsidRDefault="00C670A1" w:rsidP="0025099B">
            <w:pPr>
              <w:jc w:val="both"/>
              <w:rPr>
                <w:bCs/>
              </w:rPr>
            </w:pPr>
          </w:p>
          <w:p w:rsidR="00C670A1" w:rsidRDefault="00C670A1" w:rsidP="0025099B">
            <w:r>
              <w:t>Posebni uvjeti:</w:t>
            </w:r>
          </w:p>
          <w:p w:rsidR="00C670A1" w:rsidRPr="00B829BF" w:rsidRDefault="00C670A1" w:rsidP="0025099B">
            <w:r>
              <w:t>U</w:t>
            </w:r>
            <w:r w:rsidRPr="00B829BF">
              <w:t>stanova u kojoj se obavlja specijalističko usavršavanje iz nefrologije</w:t>
            </w:r>
            <w:r>
              <w:t xml:space="preserve"> treba </w:t>
            </w:r>
            <w:r w:rsidRPr="00B829BF">
              <w:t xml:space="preserve">sadržavati: </w:t>
            </w:r>
          </w:p>
          <w:p w:rsidR="00C670A1" w:rsidRPr="00B829BF" w:rsidRDefault="00C670A1" w:rsidP="00C670A1">
            <w:pPr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ind w:left="311" w:right="18" w:hanging="311"/>
            </w:pPr>
            <w:r w:rsidRPr="00B829BF">
              <w:t>stacionarni nefrološki odjel u kojem se liječe bolesnici, ali u kojem se obavljaju perkutane biopsije bubrega (</w:t>
            </w:r>
            <w:r>
              <w:t>„</w:t>
            </w:r>
            <w:r w:rsidRPr="00B829BF">
              <w:t>conditio sine qua non</w:t>
            </w:r>
            <w:r>
              <w:t>“</w:t>
            </w:r>
            <w:r w:rsidRPr="00B829BF">
              <w:t xml:space="preserve"> za svakog nefrologa je da zna sam raditi biopsije bubrega)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lastRenderedPageBreak/>
              <w:t>jedinicu za hemodijalizu i peritonejsku dijalizu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odjel za transplantirane bubrežne bolesnike (a što znači da u ustanovi mora djelovati i cijeli transplantacijski tim, ili da ustanova skrbi za transplantirane bolesnike i usko surađuje s ustanovom u kojoj se transplantacije obavljaju)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 xml:space="preserve">patološki odjel s mogućnošću potpune patološke obrade i analize koja uključuje i elektronsku mikroskopiju, ili mora imati suradnju s nefropatološkim odjelom kroz redovite kliničko-patološke sastanke 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klinički laboratorij s mogućnošću analiziranje specifičnih markera bubrežnog oštećenja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poliklinički dio za bubrežne bolesnike (kronični glomerulonefritisi, ostale kronične bubrežne bolesti, transplantirani bubrežni bolesnici)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poliklinički dio za bolesnike s arterijskom hipertenzijom</w:t>
            </w:r>
          </w:p>
          <w:p w:rsidR="00C670A1" w:rsidRPr="00B829BF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ambulanta za kontinuirano mjerenje arterijskoga tlaka i ostale dijagnostičke postupke</w:t>
            </w:r>
          </w:p>
          <w:p w:rsidR="00C670A1" w:rsidRDefault="00C670A1" w:rsidP="00C670A1">
            <w:pPr>
              <w:pStyle w:val="Tijeloteksta2"/>
              <w:numPr>
                <w:ilvl w:val="0"/>
                <w:numId w:val="9"/>
              </w:numPr>
              <w:tabs>
                <w:tab w:val="clear" w:pos="885"/>
                <w:tab w:val="num" w:pos="311"/>
              </w:tabs>
              <w:spacing w:after="0" w:line="240" w:lineRule="auto"/>
              <w:ind w:left="311" w:right="18" w:hanging="311"/>
              <w:jc w:val="both"/>
            </w:pPr>
            <w:r w:rsidRPr="00B829BF">
              <w:t>osnovne edukacijske uvjete</w:t>
            </w:r>
            <w:r>
              <w:t xml:space="preserve">- </w:t>
            </w:r>
            <w:r w:rsidRPr="00B829BF">
              <w:t xml:space="preserve">mogućnosti za djelovanje u konzilijima s drugim specijalnostima, redovite dnevne stručne sastanke i kliničke vizite, predavaonica i knjižnica s pristupom internetu i odgovarajućim brojem medicinskih časopisa iz specijalističke struke za koju se odobrava specijalizacija, program za praćenje kvalitete izobrazbe </w:t>
            </w:r>
          </w:p>
          <w:p w:rsidR="00C670A1" w:rsidRPr="003A44B2" w:rsidRDefault="00C670A1" w:rsidP="0025099B">
            <w:pPr>
              <w:ind w:left="41"/>
              <w:jc w:val="both"/>
              <w:rPr>
                <w:b/>
              </w:rPr>
            </w:pPr>
          </w:p>
        </w:tc>
      </w:tr>
    </w:tbl>
    <w:p w:rsidR="00C670A1" w:rsidRDefault="00C670A1" w:rsidP="00C670A1">
      <w:pPr>
        <w:jc w:val="center"/>
        <w:rPr>
          <w:rFonts w:ascii="Arial" w:hAnsi="Arial" w:cs="Arial"/>
          <w:b/>
          <w:sz w:val="22"/>
          <w:szCs w:val="22"/>
        </w:rPr>
      </w:pPr>
    </w:p>
    <w:p w:rsidR="00C670A1" w:rsidRDefault="00C670A1" w:rsidP="00C670A1">
      <w:pPr>
        <w:jc w:val="center"/>
        <w:rPr>
          <w:rFonts w:ascii="Arial" w:hAnsi="Arial" w:cs="Arial"/>
          <w:b/>
          <w:sz w:val="22"/>
          <w:szCs w:val="22"/>
        </w:rPr>
      </w:pPr>
    </w:p>
    <w:p w:rsidR="00C670A1" w:rsidRPr="00545088" w:rsidRDefault="00C670A1" w:rsidP="00C670A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C670A1" w:rsidRDefault="00C670A1" w:rsidP="00C670A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NEFROLOGIJA</w:t>
      </w: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23"/>
      </w:tblGrid>
      <w:tr w:rsidR="00C670A1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C670A1" w:rsidRPr="000209E2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C670A1" w:rsidRPr="000209E2" w:rsidRDefault="00C670A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23" w:type="dxa"/>
            <w:vMerge w:val="restart"/>
            <w:tcBorders>
              <w:right w:val="single" w:sz="4" w:space="0" w:color="auto"/>
            </w:tcBorders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13970" r="8890" b="508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BFA46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C670A1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23" w:type="dxa"/>
            <w:vMerge/>
            <w:tcBorders>
              <w:right w:val="single" w:sz="4" w:space="0" w:color="auto"/>
            </w:tcBorders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C670A1" w:rsidRPr="000209E2" w:rsidRDefault="00C670A1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23" w:type="dxa"/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C670A1" w:rsidRPr="000209E2" w:rsidTr="0025099B">
        <w:trPr>
          <w:trHeight w:val="540"/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0209E2" w:rsidTr="0025099B">
        <w:trPr>
          <w:trHeight w:val="519"/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6227" w:type="dxa"/>
          </w:tcPr>
          <w:p w:rsidR="00C670A1" w:rsidRPr="00BB2841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C670A1" w:rsidRPr="004D7C79" w:rsidRDefault="00C670A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F1736B" w:rsidTr="0025099B">
        <w:trPr>
          <w:jc w:val="center"/>
        </w:trPr>
        <w:tc>
          <w:tcPr>
            <w:tcW w:w="6227" w:type="dxa"/>
          </w:tcPr>
          <w:p w:rsidR="00C670A1" w:rsidRPr="004D7C79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C670A1" w:rsidRPr="00F173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670A1" w:rsidRDefault="00C670A1" w:rsidP="00C670A1">
      <w:pPr>
        <w:rPr>
          <w:b/>
        </w:rPr>
      </w:pPr>
    </w:p>
    <w:p w:rsidR="00C670A1" w:rsidRDefault="00C670A1" w:rsidP="00C670A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1440"/>
        <w:gridCol w:w="1440"/>
        <w:gridCol w:w="1440"/>
        <w:gridCol w:w="4221"/>
      </w:tblGrid>
      <w:tr w:rsidR="00C670A1" w:rsidRPr="00D25FD6" w:rsidTr="0025099B">
        <w:trPr>
          <w:trHeight w:val="321"/>
          <w:jc w:val="center"/>
        </w:trPr>
        <w:tc>
          <w:tcPr>
            <w:tcW w:w="6219" w:type="dxa"/>
            <w:vMerge w:val="restart"/>
            <w:vAlign w:val="center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C670A1" w:rsidRPr="00D25FD6" w:rsidRDefault="00C670A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21" w:type="dxa"/>
            <w:vMerge w:val="restart"/>
            <w:vAlign w:val="center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70A1" w:rsidRPr="00D25FD6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255" t="7620" r="10795" b="1143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04E70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D25FD6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  <w:vMerge/>
            <w:shd w:val="clear" w:color="auto" w:fill="auto"/>
          </w:tcPr>
          <w:p w:rsidR="00C670A1" w:rsidRPr="00D25FD6" w:rsidRDefault="00C670A1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21" w:type="dxa"/>
            <w:vMerge/>
            <w:vAlign w:val="center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rPr>
          <w:trHeight w:val="515"/>
          <w:jc w:val="center"/>
        </w:trPr>
        <w:tc>
          <w:tcPr>
            <w:tcW w:w="621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670A1" w:rsidRPr="00D25FD6" w:rsidRDefault="00C670A1" w:rsidP="0025099B">
            <w:pPr>
              <w:pStyle w:val="aNaslov"/>
              <w:spacing w:before="0"/>
            </w:pPr>
            <w:r w:rsidRPr="00D25FD6"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21" w:type="dxa"/>
            <w:tcBorders>
              <w:bottom w:val="single" w:sz="4" w:space="0" w:color="auto"/>
            </w:tcBorders>
            <w:vAlign w:val="center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C670A1" w:rsidRPr="00D25FD6" w:rsidTr="0025099B">
        <w:trPr>
          <w:trHeight w:val="302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670A1" w:rsidRPr="00D25FD6" w:rsidTr="0025099B">
        <w:trPr>
          <w:trHeight w:val="175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670A1" w:rsidRPr="00D25FD6" w:rsidTr="0025099B">
        <w:trPr>
          <w:trHeight w:val="189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lastRenderedPageBreak/>
              <w:t>Elektrokardiografija i dugotrajni EKG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  <w:shd w:val="clear" w:color="auto" w:fill="D9D9D9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trHeight w:val="269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Akutni koronarni sindrom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D25FD6">
              <w:rPr>
                <w:rFonts w:ascii="Arial" w:hAnsi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Funkcionalni testovi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Laparoskopija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Biopsija jetre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Sindrom malapsorpcije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Gastrointestinalno krvarenje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Sindrom iritabilnog kolona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 xml:space="preserve">Poremećaji motorike jednjaka, GERB </w:t>
            </w:r>
            <w:proofErr w:type="gramStart"/>
            <w:r w:rsidRPr="00D25FD6">
              <w:rPr>
                <w:rFonts w:ascii="Arial" w:hAnsi="Arial"/>
                <w:sz w:val="22"/>
                <w:szCs w:val="22"/>
                <w:lang w:val="it-IT"/>
              </w:rPr>
              <w:t>i ostale</w:t>
            </w:r>
            <w:proofErr w:type="gramEnd"/>
            <w:r w:rsidRPr="00D25FD6">
              <w:rPr>
                <w:rFonts w:ascii="Arial" w:hAnsi="Arial"/>
                <w:sz w:val="22"/>
                <w:szCs w:val="22"/>
                <w:lang w:val="it-IT"/>
              </w:rPr>
              <w:t xml:space="preserve"> bolesti jednjaka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 xml:space="preserve">Gastritis </w:t>
            </w:r>
            <w:proofErr w:type="gramStart"/>
            <w:r w:rsidRPr="00D25FD6">
              <w:rPr>
                <w:rFonts w:ascii="Arial" w:hAnsi="Arial"/>
                <w:sz w:val="22"/>
                <w:szCs w:val="22"/>
                <w:lang w:val="it-IT"/>
              </w:rPr>
              <w:t>i gastropatie</w:t>
            </w:r>
            <w:proofErr w:type="gramEnd"/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Ulkusna bolest</w:t>
            </w:r>
          </w:p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Tumori jednjaka i želuca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proofErr w:type="gramStart"/>
            <w:r w:rsidRPr="00D25FD6">
              <w:rPr>
                <w:rFonts w:ascii="Arial" w:hAnsi="Arial"/>
                <w:sz w:val="22"/>
                <w:szCs w:val="22"/>
                <w:lang w:val="it-IT"/>
              </w:rPr>
              <w:t>Poremećaji  crijevne</w:t>
            </w:r>
            <w:proofErr w:type="gramEnd"/>
            <w:r w:rsidRPr="00D25FD6">
              <w:rPr>
                <w:rFonts w:ascii="Arial" w:hAnsi="Arial"/>
                <w:sz w:val="22"/>
                <w:szCs w:val="22"/>
                <w:lang w:val="it-IT"/>
              </w:rPr>
              <w:t xml:space="preserve"> cirkulacije 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Bolesti peritoneuma, omentuma i mezenterija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Karcinoid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lastRenderedPageBreak/>
              <w:t>Tumori tankog i debelog crijeva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Bolesti jetre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Bolesti jetre u trudnoći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Bolesti bilijarnog sustava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Bolesti gušterače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D25FD6">
              <w:rPr>
                <w:rFonts w:ascii="Arial" w:hAnsi="Arial"/>
                <w:sz w:val="22"/>
                <w:szCs w:val="22"/>
                <w:lang w:val="it-IT"/>
              </w:rPr>
              <w:t>Osnovi transplantacije u gastroenterologiji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multiplih endokrinih žlijezda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C670A1" w:rsidRPr="00D25FD6" w:rsidRDefault="00C670A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lastRenderedPageBreak/>
              <w:t>Endoskopske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lastRenderedPageBreak/>
              <w:t xml:space="preserve">Profesionalne bolesti  koje zahvaćaju alveole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lastRenderedPageBreak/>
              <w:t>Kronično zatajenje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Alergologija i klinička imunologija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19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1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Sindrom vaskulitisa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tcBorders>
              <w:bottom w:val="single" w:sz="4" w:space="0" w:color="auto"/>
            </w:tcBorders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lastRenderedPageBreak/>
              <w:t>Zloćudna bolest nepoznatog primarnog sijela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5FD6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D25FD6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C670A1" w:rsidRPr="00D25FD6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Temeljne laborator</w:t>
            </w:r>
            <w:r>
              <w:rPr>
                <w:rFonts w:ascii="Arial" w:hAnsi="Arial" w:cs="Arial"/>
                <w:sz w:val="22"/>
                <w:szCs w:val="22"/>
              </w:rPr>
              <w:t>ijske pretrage u infektologiji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D25FD6" w:rsidTr="0025099B">
        <w:trPr>
          <w:trHeight w:val="108"/>
          <w:jc w:val="center"/>
        </w:trPr>
        <w:tc>
          <w:tcPr>
            <w:tcW w:w="6219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D25FD6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1" w:type="dxa"/>
          </w:tcPr>
          <w:p w:rsidR="00C670A1" w:rsidRPr="00D25FD6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C670A1" w:rsidRDefault="00C670A1" w:rsidP="00C670A1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C670A1" w:rsidRDefault="00C670A1" w:rsidP="00C670A1"/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5"/>
        <w:gridCol w:w="1417"/>
        <w:gridCol w:w="1418"/>
        <w:gridCol w:w="1417"/>
        <w:gridCol w:w="4213"/>
      </w:tblGrid>
      <w:tr w:rsidR="00C670A1" w:rsidRPr="00146F6B" w:rsidTr="0025099B">
        <w:trPr>
          <w:jc w:val="center"/>
        </w:trPr>
        <w:tc>
          <w:tcPr>
            <w:tcW w:w="6295" w:type="dxa"/>
            <w:vMerge w:val="restart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TEMA</w:t>
            </w:r>
          </w:p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gridSpan w:val="3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b/>
                <w:color w:val="000000"/>
                <w:sz w:val="22"/>
                <w:szCs w:val="22"/>
              </w:rPr>
              <w:t>STUPANJ NAPREDOVANJA</w:t>
            </w:r>
          </w:p>
        </w:tc>
        <w:tc>
          <w:tcPr>
            <w:tcW w:w="4213" w:type="dxa"/>
            <w:vMerge w:val="restart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b/>
                <w:color w:val="000000"/>
                <w:sz w:val="22"/>
                <w:szCs w:val="22"/>
              </w:rPr>
              <w:t>GLAVNI MENTOR</w:t>
            </w: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vMerge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3" w:type="dxa"/>
            <w:vMerge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trHeight w:val="529"/>
          <w:jc w:val="center"/>
        </w:trPr>
        <w:tc>
          <w:tcPr>
            <w:tcW w:w="6295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POSEBNE KOMPETENCIJE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color w:val="000000"/>
                <w:sz w:val="22"/>
                <w:szCs w:val="22"/>
              </w:rPr>
              <w:t>Datum i potpis mentora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vAlign w:val="center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6F6B">
              <w:rPr>
                <w:rFonts w:ascii="Arial" w:hAnsi="Arial" w:cs="Arial"/>
                <w:color w:val="000000"/>
                <w:sz w:val="22"/>
                <w:szCs w:val="22"/>
              </w:rPr>
              <w:t>Datum i potpis</w:t>
            </w: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Klinički pregled nefrološkog bolesnika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Anamneza u nefrološkog bolesnika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Tipični i atipični simptomi nefrološkog bolesti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Simptomi pratećih bolesti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Opći status nefrološkog bolesnika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Pregled pojedinih dijelova tijela i unutarnjih organa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Mjerenje arterijskoga tlaka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Glomerularne bolesti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Dijagnostika i liječenje bolesnika s nefritičkim i nefrotičkim sindromom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Serološka dijagnostika i evaluacija glomerularnih bolesti (anti GBM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596B">
              <w:rPr>
                <w:rFonts w:ascii="Arial" w:hAnsi="Arial" w:cs="Arial"/>
                <w:sz w:val="22"/>
                <w:szCs w:val="22"/>
              </w:rPr>
              <w:t>protutijela, ANCA protutijela, anti nuklearnaprotutijela,krioglobulinemija, hipokomplementemija)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Indikacije i komplikacije perkutane biopsije bubrega,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55596B">
              <w:rPr>
                <w:rFonts w:ascii="Arial" w:hAnsi="Arial" w:cs="Arial"/>
                <w:sz w:val="22"/>
                <w:szCs w:val="22"/>
              </w:rPr>
              <w:t>zvođenje biopsije bubrega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Morfološke i imunohistološke osobine pojedinih glomerularnih bolesti (zavod za patologiju)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lastRenderedPageBreak/>
              <w:t>Liječenje bolesnika s nefrotskim sindromom, liječenje pojedinih patohistoloških glomerularnih entiteta, liječenje sekundarnih glomerularnih bolesti u sklopu sistemnih oboljenja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Šećerna bolest i dijabetička nefropatija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Dijagnostika šećerne bolesti i dijabetičke nefropatije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Liječenje  bolesnika s progresivnom dijabetičkom nefropatijom, kako inzulinski ovisnom tako i inzulinski neovisnom te liječenju krvnog tlaka, poremećaja elektrolita u tjelesnim tekućinama, glikemije te ne-bubrežnih dijabetičkih komplikacija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Pristup i vođenje bolesnika s posljednjim stadijem dijabetičke nefropatije koji se liječe hemodijalizom i peritonejskom dijalizom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Evaluacija bolesnika sa dijabetičkom nefropatijom za transplantaciju bubrega i vođenje bolesnika sa dijabetičkom nefropatijom za vrijeme i nakon transplantacije bubrega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Arterijska hipertenzija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Evaluacija hipertenzivnog bolesnika; Nefarmakološko liječenje hipertenzije; Farmakologija i klinička uporaba antihipertenzivnih lijekova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Hipertenzija kod bubrežne parenhimske bolesti za vrijeme kronične dijalize i nakon transplantacije bubrega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Renovaskularna hipertenzija: kliničke značajke, probirni i dijagnostički testovi, te vođenje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Feokromocitom: kliničke značajke, dijagnostika i vođenje; Primarni aldosteronizam: kliničke značajke, dijagnostika i vođenje; Drugi oblici sekundarne hipertenzije: Cushingov sindrom, kongenitalna adrenalna hiperplazija, koarktacija aorte, bolest štitnjače, hiperparatiroidizam, akromegalija, apneja za vrijeme spavanja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Hipertenzivna hitna i izvanredna stanja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Analazia 24h mjerenja arterijskoga tlaka (KMAT)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Akutno bubrežno zatajenje i intenzivno liječenje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bolesniku s akutnim oštećenjem bubrežne funkcije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liječenje poremećaja tekućine, elektrolita i acido-baznog statusa u bolesnika s akutnim oštećenjem bubrega, odgovarajućoj uporaba otopina i hemodinamskih lijekova u bolesnika s akutnim oštećenjem bubrežne funkcije, primjena različitih metoda bubrežnog nadomjesnog liječenja i postavljanje indikacije za primjenu izvantjelesnog nadomjesnog liječenja zatajenja jetre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primjena sustavne i regionalne (citratne) antikoagulacije u izvantjelesnom nadomjesnom liječenju bolesnika s akutnim poremećajem bubrežne funkcije, 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i uporaba nadomjesnih postupaka u liječenju intoksikacija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Kronične bubrežne bolesti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bolesniku s KBB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lab.dijagnostika KBB: određivanje GF, mjerenje proteinurije, mjerenje albuminurije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5596B">
              <w:rPr>
                <w:rFonts w:ascii="Arial" w:hAnsi="Arial" w:cs="Arial"/>
                <w:sz w:val="22"/>
                <w:szCs w:val="22"/>
              </w:rPr>
              <w:t>radiološka dijagnostika: UZV, CD, CT, MR, IVU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5596B">
              <w:rPr>
                <w:rFonts w:ascii="Arial" w:hAnsi="Arial" w:cs="Arial"/>
                <w:sz w:val="22"/>
                <w:szCs w:val="22"/>
              </w:rPr>
              <w:t>nuklearna dijagnostika: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596B">
              <w:rPr>
                <w:rFonts w:ascii="Arial" w:hAnsi="Arial" w:cs="Arial"/>
                <w:sz w:val="22"/>
                <w:szCs w:val="22"/>
              </w:rPr>
              <w:t>DSB i ostalo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hipertenzija i napredovanje KBB, anemija i KBB, poremećaj mineralnog metabolizma i KBB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liječenje KBB prije dijalize,  smanjenje proteinurije inhibitorima angiotenzin-konvertirajućeg enzima, blokatorima angiotenzinskih receptora i drugim antihipertenzivima, liječenje metaboličke bolest kostiju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uloga anemije u zbrinjavanju bolesnika s KBB i liječenje anemije kroničnog zatajivanja bubrega bolesti pomoću željeza, eritropoetina i drugih sredstava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lastRenderedPageBreak/>
              <w:t>Indikacije za početak liječenja dijalizom i postavljanje pristupa za dijalizu bolesnicima s  konačnim zatajenjem bubrega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Primjena lijekova u KBB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Dijaliza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i vođenja bolenika na dijalizi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vrste dijalize i njene komplikacije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indikacije za dijalizu u akutnom i kroničnom zatjenju bubrega te dijalizi slične nekonzervativne postupke u akutnom zatajenju bubrega i otrovanjima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Acidobazni poremećaji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interpretacija nalaza acidobaznog stanja u serumu i u mokraći i liječenje postojećeg poremećaja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i liječenje bubrežne tubulske acidoze i uremijske acidoze, svih drugih vrsta metaboličkih acidoza. u liječenju metaboličke alkaloze, respiracijske acidoze i alkaloze i miješanih acidobaznih poremećaja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Poremećaji elektrolita i tekućina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interpretacija nalaza elektrolita u serumu i urinu i njihovoj primjeni u liječenju bolesnika, pristup bolesniku s akutnom ili kroničnom hiponatrijemijom, s akutnom i kroničnom hipernatrijemijom, s akutnom i kroničnom hipokalijemijom, s akutnom i kroničnom hiperkalijemijom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procjena stanja volemije (uklj. interpretacije središnjeg venskog tlaka) i dijagnostička obrada i liječenje bolesnika s poliurijom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liječenje stanja hipovolemije te stanja s edemima, primjena diuretika i u procjeni i liječenju poremećaja volemije, natrija i kalija u bolesnika sa uznapredovalom bubrežnom bolešću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Cistične i nasljedne bolesti bubrega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dijagnostika i liječenje raznih oblika cističnih bolesti bubrega, poglavito autosomnodominantne policistične bolesti bubrega (ADPBB) te njenih bubrežnih i izvanbubrežnih komplikacija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dijagnostika i liječenje bolesnika s ne-cističnim nasljednim bolestima s naglaskom na Alportov sindrom kao i njegovim bubrežnim i izvanbubrežnim komplikacijama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genetskog savjetovanja bolesnika s nasljednim poremećajima bubrega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Tubulointersticijske bolesti bubrega i infekcije mokraćnog sustava</w:t>
            </w: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bolesniku s akutnim intersticijskim nefritisom,  komplikacije i liječenje akutnog pielonefritisa; liječenje asimptomatske i simptomatske bakteriurije, pristup bolesniku s s recidivirajućim i rezistentnim infekcijama, vezikuoreteralnim refluksom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radiološku obrada, klinička slika i liječenje refluksne nefropatije, kroničnog pijelonefritisa, analgetske nefropatije, etiologija i dijagnostika papilarne nekroze; interpretacija kliničkih laboratorijskih testova u evaluaciji tubularne funkcije, sposobnosti koncentracije, acidifikacije, prometa kalija i natrija te razne fukcije reapsorbcije; rijetke sindrome koji zahvaćaju bubrežni intersticij: ksanotgranulomatozni pijelonefritis, limfomatoznu infiltraciju, razne granulomatozne bolesti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endemska nefropatija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Poremećaje mineralnog metabolizma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Dijagnostičke metode i  liječenje  raznih oblika renalne osteodistrofije, interpretacija nalaza histologije kosti a posebno  interpretaciai nalaza biospije kosti u kroničnom zatajenju bubrega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Patogeneza i liječenje kalcijske nefrolitijaze, uratne nefrolitijaze, kao i ostalih bubrežnih kamenaca; metabolička dijagnostika litijaze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lastRenderedPageBreak/>
              <w:t>Kiruške metode liječenja nefrolitijaze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>Transplantacija bubrega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imunogenetika tipizacije tkiva, križne probe i određivanje reaktivnih antitijela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Osnovni principi farmakologije i mehanizmi djelovanja imunosupresivnih lijekova, farmakologije neimunosupresivnih lijekova koji se rabe u primatelja presatka za profilaksu infekcije i liječenje pridruženih bolesti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Klinička transplantacija bubrega i istovremena transplantacija bubrega i gušterače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Bolnička post-transplantacijska skrb, izvanbolnička post-transplantacijska skrb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Transplantacija i trudnoća; Transplantacija i maligne bolesti; Etička razmatranja u transplantaciji i ekonomija transplantacije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Bolesti bubrega u trudnoći 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Anatomija i funkcija mokraćnog sustava tijekom trudnoće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Patogeneza i liječenje upale mokraćnih puteva, akutnog bubrežnog zatajenja te kroničnog glomerulonefitisa i intersticajske bubrežne bolesti koje su prethodile trudnoći; nefrolitijaza u trudnoći 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Primjena akutnih i kroničnih metoda nadomjesnog liječenja bubrežne funkcije u trudnica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Učinak trudnoće na prirodni tijek presatka bubrega kao i stanja koja zahtijevaju prekid trudnoće u bolesnica s presatkom bubrega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Trudnoća kompliciranu s hipertenzijom. uključujući i liječenja trudnice s hipertenzivnom krizom, pogotovo onih koje se manifestiraju sa sistemskim manifestacijama kao što je zatajenje jetre, trombocitopenija i mikroangiopatska hemolitička anemija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Lijekovi kod bubrežnih bolesti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 xml:space="preserve">prepoznati i liječiti bolesnika s različitim bubrežnim sindromima uzrokovanih lijekovima; 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Modificiranje doze lijekova u bolesnika s poremećajem bubrežne funkcije kao i indikacije za praćenje djelovanja primijenjene terapije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tcBorders>
              <w:bottom w:val="single" w:sz="4" w:space="0" w:color="auto"/>
            </w:tcBorders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načini pristupa informacijama o trovanju lijekovima i drugim trovanjima i najčešća predoziranja i potreba za metodama vantjelesnog liječenja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tcBorders>
              <w:bottom w:val="single" w:sz="4" w:space="0" w:color="auto"/>
            </w:tcBorders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  <w:shd w:val="clear" w:color="auto" w:fill="C0C0C0"/>
          </w:tcPr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596B">
              <w:rPr>
                <w:rFonts w:ascii="Arial" w:hAnsi="Arial" w:cs="Arial"/>
                <w:b/>
                <w:sz w:val="22"/>
                <w:szCs w:val="22"/>
              </w:rPr>
              <w:t>Tumori mokraćnog sustava</w:t>
            </w:r>
          </w:p>
          <w:p w:rsidR="00C670A1" w:rsidRPr="0055596B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pristup bolesniku s tumorom bubrega, uretera ili mokraćnog mjehura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dijagnostika i liječenje dobroćudnih tumora i zloćudnih tumora mokraćnog sustava</w:t>
            </w: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670A1" w:rsidRPr="00146F6B" w:rsidTr="0025099B">
        <w:trPr>
          <w:jc w:val="center"/>
        </w:trPr>
        <w:tc>
          <w:tcPr>
            <w:tcW w:w="6295" w:type="dxa"/>
          </w:tcPr>
          <w:p w:rsidR="00C670A1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5596B">
              <w:rPr>
                <w:rFonts w:ascii="Arial" w:hAnsi="Arial" w:cs="Arial"/>
                <w:sz w:val="22"/>
                <w:szCs w:val="22"/>
              </w:rPr>
              <w:t>karcinomi prijelaznog epitela u endemskoj nefropatiji</w:t>
            </w:r>
          </w:p>
          <w:p w:rsidR="00C670A1" w:rsidRPr="0055596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3" w:type="dxa"/>
          </w:tcPr>
          <w:p w:rsidR="00C670A1" w:rsidRPr="00146F6B" w:rsidRDefault="00C670A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C670A1" w:rsidRDefault="00C670A1" w:rsidP="00C670A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C670A1" w:rsidRDefault="00C670A1" w:rsidP="00C670A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C670A1" w:rsidRDefault="00C670A1" w:rsidP="00C670A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C670A1" w:rsidRDefault="00C670A1" w:rsidP="00C670A1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NEFROLOGIJA</w:t>
      </w: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9"/>
        <w:gridCol w:w="1097"/>
        <w:gridCol w:w="1620"/>
        <w:gridCol w:w="1620"/>
        <w:gridCol w:w="5014"/>
      </w:tblGrid>
      <w:tr w:rsidR="00C670A1" w:rsidRPr="000209E2" w:rsidTr="0025099B">
        <w:trPr>
          <w:trHeight w:val="321"/>
          <w:jc w:val="center"/>
        </w:trPr>
        <w:tc>
          <w:tcPr>
            <w:tcW w:w="5409" w:type="dxa"/>
            <w:vMerge w:val="restart"/>
            <w:shd w:val="clear" w:color="auto" w:fill="C0C0C0"/>
          </w:tcPr>
          <w:p w:rsidR="00C670A1" w:rsidRPr="00BF4AFA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70A1" w:rsidRDefault="00C670A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C670A1" w:rsidRPr="00F24CCA" w:rsidRDefault="00C670A1" w:rsidP="0025099B">
            <w:pPr>
              <w:rPr>
                <w:rFonts w:ascii="Arial" w:hAnsi="Arial" w:cs="Arial"/>
                <w:sz w:val="20"/>
                <w:szCs w:val="20"/>
              </w:rPr>
            </w:pP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C670A1" w:rsidRPr="000209E2" w:rsidRDefault="00C670A1" w:rsidP="0025099B">
            <w:pPr>
              <w:pStyle w:val="aNaslov"/>
              <w:jc w:val="center"/>
            </w:pPr>
            <w:r w:rsidRPr="00487DB8">
              <w:rPr>
                <w:b w:val="0"/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C670A1" w:rsidRPr="000209E2" w:rsidRDefault="00C670A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14" w:type="dxa"/>
            <w:vMerge w:val="restart"/>
            <w:shd w:val="clear" w:color="auto" w:fill="auto"/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670A1" w:rsidRPr="000209E2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10160" r="9525" b="889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A7300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vMerge/>
            <w:shd w:val="clear" w:color="auto" w:fill="C0C0C0"/>
          </w:tcPr>
          <w:p w:rsidR="00C670A1" w:rsidRPr="000209E2" w:rsidRDefault="00C670A1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C670A1" w:rsidRPr="000209E2" w:rsidRDefault="00C670A1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C670A1" w:rsidRPr="001C038D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38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670A1" w:rsidRPr="001C038D" w:rsidRDefault="00C670A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038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14" w:type="dxa"/>
            <w:vMerge/>
            <w:shd w:val="clear" w:color="auto" w:fill="auto"/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0209E2" w:rsidTr="0025099B">
        <w:trPr>
          <w:trHeight w:val="639"/>
          <w:jc w:val="center"/>
        </w:trPr>
        <w:tc>
          <w:tcPr>
            <w:tcW w:w="540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670A1" w:rsidRDefault="00C670A1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670A1" w:rsidRPr="00487DB8" w:rsidRDefault="00C670A1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5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70A1" w:rsidRPr="000209E2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C670A1" w:rsidRPr="000209E2" w:rsidTr="0025099B">
        <w:trPr>
          <w:trHeight w:val="260"/>
          <w:jc w:val="center"/>
        </w:trPr>
        <w:tc>
          <w:tcPr>
            <w:tcW w:w="5409" w:type="dxa"/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UZV bubrega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62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4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Dopler bubrega i renalnih arterija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UZV transplantiranog bubrega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Biopsija transplantiranog bubrega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Nuklearne nefrološke pretrage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CT/MR mokraćnog sustava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 xml:space="preserve">24-satno mjerenje arterijskoga tlaka (KMAT) 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C670A1" w:rsidRPr="000209E2" w:rsidTr="0025099B">
        <w:trPr>
          <w:jc w:val="center"/>
        </w:trPr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A315AB">
              <w:rPr>
                <w:rFonts w:ascii="Arial" w:hAnsi="Arial" w:cs="Arial"/>
                <w:sz w:val="22"/>
                <w:szCs w:val="22"/>
              </w:rPr>
              <w:t>Postavljanje centralnog venskog katetera</w:t>
            </w:r>
          </w:p>
          <w:p w:rsidR="00C670A1" w:rsidRPr="00A315AB" w:rsidRDefault="00C670A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692924" w:rsidRDefault="00C670A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A1" w:rsidRPr="000209E2" w:rsidRDefault="00C670A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C670A1" w:rsidRDefault="00C670A1" w:rsidP="00C670A1">
      <w:pPr>
        <w:rPr>
          <w:rFonts w:ascii="Arial" w:hAnsi="Arial" w:cs="Arial"/>
          <w:color w:val="FF0000"/>
          <w:sz w:val="22"/>
          <w:szCs w:val="22"/>
        </w:rPr>
      </w:pPr>
    </w:p>
    <w:p w:rsidR="00401EDC" w:rsidRDefault="00401EDC"/>
    <w:sectPr w:rsidR="00401EDC" w:rsidSect="00C6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2F8" w:rsidRDefault="00D822F8" w:rsidP="003F76E6">
      <w:r>
        <w:separator/>
      </w:r>
    </w:p>
  </w:endnote>
  <w:endnote w:type="continuationSeparator" w:id="0">
    <w:p w:rsidR="00D822F8" w:rsidRDefault="00D822F8" w:rsidP="003F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6E6" w:rsidRDefault="003F76E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967429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F76E6" w:rsidRDefault="003F76E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F76E6" w:rsidRDefault="003F76E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6E6" w:rsidRDefault="003F76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2F8" w:rsidRDefault="00D822F8" w:rsidP="003F76E6">
      <w:r>
        <w:separator/>
      </w:r>
    </w:p>
  </w:footnote>
  <w:footnote w:type="continuationSeparator" w:id="0">
    <w:p w:rsidR="00D822F8" w:rsidRDefault="00D822F8" w:rsidP="003F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6E6" w:rsidRDefault="003F76E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6E6" w:rsidRDefault="003F76E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6E6" w:rsidRDefault="003F76E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7194956"/>
    <w:multiLevelType w:val="hybridMultilevel"/>
    <w:tmpl w:val="CD385C40"/>
    <w:lvl w:ilvl="0" w:tplc="88A8F52A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7650C3F"/>
    <w:multiLevelType w:val="hybridMultilevel"/>
    <w:tmpl w:val="E4482CE8"/>
    <w:lvl w:ilvl="0" w:tplc="824638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0A1"/>
    <w:rsid w:val="003F76E6"/>
    <w:rsid w:val="00401EDC"/>
    <w:rsid w:val="005B661B"/>
    <w:rsid w:val="00A54D98"/>
    <w:rsid w:val="00C670A1"/>
    <w:rsid w:val="00D8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99D83-6090-44CC-932F-0E70F0830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67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670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C670A1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C670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C670A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C670A1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C670A1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C670A1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C670A1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670A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C670A1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C670A1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C670A1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C670A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C670A1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C670A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C670A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C670A1"/>
    <w:rPr>
      <w:rFonts w:ascii="Arial" w:eastAsia="Times New Roman" w:hAnsi="Arial" w:cs="Arial"/>
    </w:rPr>
  </w:style>
  <w:style w:type="paragraph" w:styleId="StandardWeb">
    <w:name w:val="Normal (Web)"/>
    <w:basedOn w:val="Normal"/>
    <w:rsid w:val="00C670A1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C670A1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C670A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C670A1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C670A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70A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670A1"/>
  </w:style>
  <w:style w:type="character" w:styleId="Hiperveza">
    <w:name w:val="Hyperlink"/>
    <w:rsid w:val="00C670A1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C670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C670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C670A1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C670A1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C670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C670A1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C670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C670A1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C670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C670A1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C670A1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C670A1"/>
    <w:rPr>
      <w:b/>
      <w:bCs/>
    </w:rPr>
  </w:style>
  <w:style w:type="table" w:styleId="Reetkatablice">
    <w:name w:val="Table Grid"/>
    <w:basedOn w:val="Obinatablica"/>
    <w:rsid w:val="00C67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C670A1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C670A1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C670A1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C670A1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C670A1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C670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C670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C670A1"/>
    <w:pPr>
      <w:jc w:val="center"/>
    </w:pPr>
  </w:style>
  <w:style w:type="paragraph" w:customStyle="1" w:styleId="T-109fett">
    <w:name w:val="T-10/9 fett"/>
    <w:rsid w:val="00C670A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C670A1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C670A1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C670A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C670A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C670A1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C670A1"/>
    <w:rPr>
      <w:sz w:val="24"/>
      <w:szCs w:val="24"/>
      <w:lang w:eastAsia="hr-HR"/>
    </w:rPr>
  </w:style>
  <w:style w:type="character" w:customStyle="1" w:styleId="CharChar">
    <w:name w:val="Char Char"/>
    <w:rsid w:val="00C670A1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C6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C670A1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C670A1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C670A1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C670A1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C670A1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C670A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C670A1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C670A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C670A1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C670A1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C670A1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C670A1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C670A1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C670A1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C670A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670A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C670A1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C670A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C670A1"/>
    <w:pPr>
      <w:ind w:left="283" w:hanging="283"/>
    </w:pPr>
  </w:style>
  <w:style w:type="paragraph" w:styleId="Grafikeoznake2">
    <w:name w:val="List Bullet 2"/>
    <w:basedOn w:val="Normal"/>
    <w:autoRedefine/>
    <w:rsid w:val="00C670A1"/>
  </w:style>
  <w:style w:type="paragraph" w:styleId="Nastavakpopisa2">
    <w:name w:val="List Continue 2"/>
    <w:basedOn w:val="Normal"/>
    <w:rsid w:val="00C670A1"/>
    <w:pPr>
      <w:spacing w:after="120"/>
      <w:ind w:left="566"/>
    </w:pPr>
  </w:style>
  <w:style w:type="paragraph" w:styleId="Grafikeoznake">
    <w:name w:val="List Bullet"/>
    <w:basedOn w:val="Normal"/>
    <w:rsid w:val="00C670A1"/>
    <w:pPr>
      <w:numPr>
        <w:numId w:val="7"/>
      </w:numPr>
    </w:pPr>
    <w:rPr>
      <w:lang w:eastAsia="en-US"/>
    </w:rPr>
  </w:style>
  <w:style w:type="paragraph" w:styleId="Popis2">
    <w:name w:val="List 2"/>
    <w:basedOn w:val="Normal"/>
    <w:rsid w:val="00C670A1"/>
    <w:pPr>
      <w:ind w:left="566" w:hanging="283"/>
    </w:pPr>
  </w:style>
  <w:style w:type="paragraph" w:styleId="Popis3">
    <w:name w:val="List 3"/>
    <w:basedOn w:val="Normal"/>
    <w:rsid w:val="00C670A1"/>
    <w:pPr>
      <w:ind w:left="849" w:hanging="283"/>
    </w:pPr>
  </w:style>
  <w:style w:type="paragraph" w:styleId="Grafikeoznake3">
    <w:name w:val="List Bullet 3"/>
    <w:basedOn w:val="Normal"/>
    <w:autoRedefine/>
    <w:rsid w:val="00C670A1"/>
    <w:pPr>
      <w:ind w:left="360" w:hanging="360"/>
    </w:pPr>
  </w:style>
  <w:style w:type="paragraph" w:styleId="Nastavakpopisa3">
    <w:name w:val="List Continue 3"/>
    <w:basedOn w:val="Normal"/>
    <w:rsid w:val="00C670A1"/>
    <w:pPr>
      <w:spacing w:after="120"/>
      <w:ind w:left="849"/>
    </w:pPr>
  </w:style>
  <w:style w:type="paragraph" w:styleId="Nastavakpopisa">
    <w:name w:val="List Continue"/>
    <w:basedOn w:val="Normal"/>
    <w:rsid w:val="00C670A1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C670A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C670A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C670A1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C670A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C670A1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C670A1"/>
    <w:pPr>
      <w:ind w:left="708"/>
    </w:pPr>
  </w:style>
  <w:style w:type="paragraph" w:customStyle="1" w:styleId="O">
    <w:name w:val="Oč"/>
    <w:basedOn w:val="Tijeloteksta3"/>
    <w:rsid w:val="00C670A1"/>
  </w:style>
  <w:style w:type="paragraph" w:customStyle="1" w:styleId="anormal0">
    <w:name w:val="anormal"/>
    <w:basedOn w:val="Normal"/>
    <w:rsid w:val="00C670A1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C670A1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C670A1"/>
    <w:rPr>
      <w:i/>
      <w:lang w:eastAsia="en-US"/>
    </w:rPr>
  </w:style>
  <w:style w:type="character" w:customStyle="1" w:styleId="Style1Char">
    <w:name w:val="Style1 Char"/>
    <w:link w:val="Style1"/>
    <w:rsid w:val="00C670A1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C670A1"/>
    <w:rPr>
      <w:sz w:val="16"/>
      <w:szCs w:val="16"/>
    </w:rPr>
  </w:style>
  <w:style w:type="character" w:customStyle="1" w:styleId="uvlaka2CharChar">
    <w:name w:val="uvlaka 2 Char Char"/>
    <w:rsid w:val="00C670A1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C670A1"/>
    <w:rPr>
      <w:rFonts w:cs="Times New Roman"/>
    </w:rPr>
  </w:style>
  <w:style w:type="paragraph" w:styleId="Blokteksta">
    <w:name w:val="Block Text"/>
    <w:basedOn w:val="Normal"/>
    <w:rsid w:val="00C670A1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C670A1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C670A1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C6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C670A1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C670A1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C670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C670A1"/>
    <w:pPr>
      <w:spacing w:after="324"/>
    </w:pPr>
  </w:style>
  <w:style w:type="character" w:customStyle="1" w:styleId="BodyTextIndentChar">
    <w:name w:val="Body Text Indent Char"/>
    <w:rsid w:val="00C670A1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C670A1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C670A1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C670A1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C670A1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C670A1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C670A1"/>
    <w:pPr>
      <w:numPr>
        <w:numId w:val="10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C670A1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C670A1"/>
    <w:pPr>
      <w:spacing w:before="100" w:beforeAutospacing="1" w:after="100" w:afterAutospacing="1"/>
    </w:pPr>
  </w:style>
  <w:style w:type="paragraph" w:customStyle="1" w:styleId="Default">
    <w:name w:val="Default"/>
    <w:rsid w:val="00C670A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6319</Words>
  <Characters>36021</Characters>
  <Application>Microsoft Office Word</Application>
  <DocSecurity>0</DocSecurity>
  <Lines>300</Lines>
  <Paragraphs>84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2019-11-16T15:00:00Z</dcterms:created>
  <dcterms:modified xsi:type="dcterms:W3CDTF">2020-02-05T08:18:00Z</dcterms:modified>
</cp:coreProperties>
</file>